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(...)</w:t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Processo nº (…)</w:t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advogados, nos autos da ação (...), que move em face de (...), processo em epígrafe, em trâmite perante esse e. Juízo, vem, respeitosamente, à presença de Vossa Excelência, expor e requerer o quanto segue.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Inobstante a determinação de intimação para pagamento a executada quedou-se inerte e restou infrutífera a tentativa de penhora pelo Sr. Oficial de Justiça nos termos do § 3º do art. 523 do CPC.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Posta assim a questão, tendo em vista que decorreu in albis o prazo para pagamento voluntário insculpido no art. 523 do Código de Processo Civil, o valor devido de R$ (...) importa em (...) atualizados que, acrescido de 10% (multa do art. 523, § 1º), resulta no valor devido de R$ (...) que, acrescido de honorários de 10% pela execução (independentemente daqueles fixados na fase de conhecimento), importa no valor total devido de R$ (...).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center"/>
        <w:rPr>
          <w:sz w:val="24"/>
          <w:i/>
          <w:sz w:val="24"/>
          <w:i/>
          <w:szCs w:val="24"/>
          <w:rFonts w:ascii="Arial" w:hAnsi="Arial" w:cs="Arial"/>
        </w:rPr>
      </w:pPr>
      <w:r>
        <w:rPr>
          <w:rFonts w:ascii="Times New Roman" w:hAnsi="Times New Roman"/>
          <w:color w:val="FF6600"/>
          <w:sz w:val="28"/>
          <w:szCs w:val="28"/>
        </w:rPr>
        <w:t>(Memória discriminada dos cálculos)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Posta assim a questão, mister se faz a pesquisa/bloqueio pelos sistemas Bacenjud, Infojud, Arisp e Renajud.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Nestes termos, a exequente requer, pelo valor executado: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ListParagraph"/>
        <w:numPr>
          <w:ilvl w:val="0"/>
          <w:numId w:val="2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 realização de pesquisa eletrônica de titularidade de imóveis via ARIS</w:t>
      </w:r>
      <w:bookmarkStart w:id="0" w:name="_bookmark94"/>
      <w:bookmarkEnd w:id="0"/>
      <w:r>
        <w:rPr>
          <w:rFonts w:ascii="Times New Roman" w:hAnsi="Times New Roman"/>
          <w:sz w:val="28"/>
          <w:szCs w:val="28"/>
        </w:rPr>
        <w:t>P</w:t>
      </w:r>
      <w:hyperlink w:anchor="_bookmark103">
        <w:r>
          <w:rPr>
            <w:rStyle w:val="LinkdaInternet"/>
            <w:rFonts w:ascii="Times New Roman" w:hAnsi="Times New Roman"/>
            <w:sz w:val="28"/>
            <w:szCs w:val="28"/>
          </w:rPr>
          <w:t>28</w:t>
        </w:r>
      </w:hyperlink>
      <w:r>
        <w:rPr>
          <w:rFonts w:ascii="Times New Roman" w:hAnsi="Times New Roman"/>
          <w:sz w:val="28"/>
          <w:szCs w:val="28"/>
        </w:rPr>
        <w:t>(art. 3º do Provimento 30/2011, DJE de 19/11/2011 e DJE de 09/01/2012, pág. 12 – decisão normativa da Corregedoria Geral da Justiça);</w:t>
      </w:r>
      <w:r/>
    </w:p>
    <w:p>
      <w:pPr>
        <w:pStyle w:val="ListParagraph"/>
        <w:numPr>
          <w:ilvl w:val="0"/>
          <w:numId w:val="2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 emprego de INFOJUD (requisição de cópia da declaração de bens entregue à ReceitaFederal);</w:t>
      </w:r>
      <w:r/>
    </w:p>
    <w:p>
      <w:pPr>
        <w:pStyle w:val="ListParagraph"/>
        <w:numPr>
          <w:ilvl w:val="0"/>
          <w:numId w:val="2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 emprego do RENAJUD (pesquisa e bloqueio de veículos automotores);</w:t>
      </w:r>
      <w:r/>
    </w:p>
    <w:p>
      <w:pPr>
        <w:pStyle w:val="ListParagraph"/>
        <w:numPr>
          <w:ilvl w:val="0"/>
          <w:numId w:val="2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BACENJUD (pesquisa e bloqueio de ativos financeiros);e,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Instaobservar que todas as pesquisas/bloqueios devem ser realizadas em nome da executada: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(...)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Para o cometimento, apresenta a exequente as guias de recolhimento das taxas respectivas (por ferramenta empregada e   por CPF consultado – Guia do Fundo Especial de Despesa do Tribunal de Justiça, código 434-1, “Impressão de Informaçõesdo Sistema Infojud/Bacenjud/Renajud” – Prov. CSM 1.826/2010, Prov. CSM 1.864/2011 e Comunicado CSM 97/2010), devendo a zelosa Serventia observar o prazode 48 horas (art. 190 do CPC), contado da apresentação das guias que seguem anexas.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Por derradeiro, requer o cumprimento do requerimento supra, antes de qualquer intimação através da imprensa oficial ou  de  qualquer outra medida, com o escopo de evitar que os executados tomem, antecipadamente, ciência do ato e frustre a medida.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Posta assim a questão, juntando as guias (BACENJUD, ARISP, INFOJUD e RENAJUD) para as pesquisas/bloqueios ora requeridos 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color w:val="FF6600"/>
          <w:lang w:val="en-US"/>
        </w:rPr>
      </w:pPr>
      <w:r>
        <w:rPr>
          <w:rFonts w:ascii="Times New Roman" w:hAnsi="Times New Roman"/>
          <w:color w:val="FF6600"/>
          <w:sz w:val="28"/>
          <w:szCs w:val="28"/>
        </w:rPr>
        <w:t>Ou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ListParagraph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Nos termos do inciso VII do art. 524 e art. 844, do Código de Processo Civil, por auto ou termo de penhora, a penhora do apto.(...), conforme matrícula atualizada anexa àpresente;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a.1) Desde já o exequente indica o valor do imóvel sobre o qual deve recair a penhora, de acordo com as avaliações anexas correspondente a R$(...).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É preciso observar que, nos termos da lição dos preclaros Luiz Rodrigues Wambier, Teresa Arruda Alvim Wambier e José Miguel Garcia Medina:</w:t>
      </w:r>
      <w:r/>
    </w:p>
    <w:p>
      <w:pPr>
        <w:pStyle w:val="Normal"/>
        <w:jc w:val="both"/>
        <w:rPr>
          <w:sz w:val="24"/>
          <w:sz w:val="24"/>
          <w:szCs w:val="24"/>
          <w:rFonts w:ascii="Arial" w:hAnsi="Arial" w:cs="Arial"/>
        </w:rPr>
      </w:pPr>
      <w:r>
        <w:rPr>
          <w:rFonts w:ascii="Times New Roman" w:hAnsi="Times New Roman"/>
          <w:i/>
          <w:iCs/>
          <w:sz w:val="28"/>
          <w:szCs w:val="28"/>
        </w:rPr>
        <w:tab/>
        <w:tab/>
        <w:tab/>
        <w:t>“Ao requerer a realização da execução e indicar bens sobre os quais recairá a penhora [art. 524, VII do CPC], poderá o exequente estimar o seu valor. Caso o executado aceite o valor atribuído aos bens pelo exequente, a realização de avaliação por assistente do juiz será desnecessária” (cf. art. 871, I, do CPC, aplicável analogicamente ao caso).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Nos termos do art. 871 do Código de Processo Civil, requer-se a nomeação de avaliador, caso a executada não concorde com o valor ora indicado pelo exequente.</w:t>
      </w:r>
      <w:r/>
    </w:p>
    <w:p>
      <w:pPr>
        <w:pStyle w:val="ListParagraph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Ultrapassado “in albis” o prazo para impugnação a que alude o art. 525 do CPC requer-se a designação depraça.</w:t>
      </w:r>
      <w:r/>
    </w:p>
    <w:p>
      <w:pPr>
        <w:pStyle w:val="ListParagraph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p>
      <w:pPr>
        <w:pStyle w:val="Corpodotexto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8" w:hanging="363"/>
      </w:pPr>
      <w:rPr>
        <w:sz w:val="27"/>
        <w:spacing w:val="-1"/>
        <w:szCs w:val="27"/>
        <w:w w:val="100"/>
      </w:rPr>
    </w:lvl>
    <w:lvl w:ilvl="1">
      <w:start w:val="1"/>
      <w:numFmt w:val="bullet"/>
      <w:lvlText w:val=""/>
      <w:lvlJc w:val="left"/>
      <w:pPr>
        <w:ind w:left="958" w:hanging="36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17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75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4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392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51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109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68" w:hanging="363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ind w:left="108" w:hanging="326"/>
      </w:pPr>
      <w:rPr>
        <w:sz w:val="27"/>
        <w:spacing w:val="-1"/>
        <w:szCs w:val="27"/>
        <w:w w:val="100"/>
      </w:rPr>
    </w:lvl>
    <w:lvl w:ilvl="1">
      <w:start w:val="1"/>
      <w:numFmt w:val="bullet"/>
      <w:lvlText w:val=""/>
      <w:lvlJc w:val="left"/>
      <w:pPr>
        <w:ind w:left="956" w:hanging="32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13" w:hanging="32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69" w:hanging="32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26" w:hanging="32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382" w:hanging="32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39" w:hanging="32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095" w:hanging="32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52" w:hanging="326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1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5146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2">
    <w:name w:val="Título 2"/>
    <w:basedOn w:val="Normal"/>
    <w:link w:val="Ttulo2Char"/>
    <w:uiPriority w:val="1"/>
    <w:qFormat/>
    <w:rsid w:val="00924e23"/>
    <w:pPr>
      <w:widowControl w:val="false"/>
      <w:spacing w:lineRule="auto" w:line="240" w:before="136" w:after="0"/>
      <w:ind w:left="378" w:hanging="0"/>
      <w:outlineLvl w:val="1"/>
    </w:pPr>
    <w:rPr>
      <w:rFonts w:ascii="Arial" w:hAnsi="Arial" w:eastAsia="Arial" w:cs="Arial"/>
      <w:b/>
      <w:bCs/>
      <w:sz w:val="27"/>
      <w:szCs w:val="27"/>
      <w:lang w:val="en-US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924e23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924e23"/>
    <w:rPr>
      <w:rFonts w:ascii="Arial" w:hAnsi="Arial" w:eastAsia="Arial" w:cs="Arial"/>
      <w:sz w:val="27"/>
      <w:szCs w:val="27"/>
      <w:lang w:val="en-US"/>
    </w:rPr>
  </w:style>
  <w:style w:type="character" w:styleId="ListLabel1">
    <w:name w:val="ListLabel 1"/>
    <w:rPr>
      <w:rFonts w:eastAsia="Calibri" w:cs="Calibri"/>
      <w:b/>
      <w:bCs/>
      <w:spacing w:val="-15"/>
      <w:w w:val="97"/>
      <w:sz w:val="27"/>
      <w:szCs w:val="27"/>
    </w:rPr>
  </w:style>
  <w:style w:type="character" w:styleId="ListLabel2">
    <w:name w:val="ListLabel 2"/>
    <w:rPr>
      <w:rFonts w:eastAsia="Arial" w:cs="Arial"/>
      <w:spacing w:val="-1"/>
      <w:w w:val="100"/>
      <w:sz w:val="27"/>
      <w:szCs w:val="27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924e23"/>
    <w:pPr>
      <w:widowControl w:val="false"/>
      <w:spacing w:lineRule="auto" w:line="240" w:before="76" w:after="0"/>
      <w:ind w:left="108" w:hanging="0"/>
    </w:pPr>
    <w:rPr>
      <w:rFonts w:ascii="Arial" w:hAnsi="Arial" w:eastAsia="Arial" w:cs="Arial"/>
      <w:sz w:val="27"/>
      <w:szCs w:val="27"/>
      <w:lang w:val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924e23"/>
    <w:pPr>
      <w:widowControl w:val="false"/>
      <w:spacing w:lineRule="auto" w:line="240" w:before="136" w:after="0"/>
      <w:ind w:left="108" w:firstLine="270"/>
    </w:pPr>
    <w:rPr>
      <w:rFonts w:ascii="Arial" w:hAnsi="Arial" w:eastAsia="Arial" w:cs="Arial"/>
      <w:lang w:val="en-US"/>
    </w:rPr>
  </w:style>
  <w:style w:type="paragraph" w:styleId="Rodap">
    <w:name w:val="Rodapé"/>
    <w:basedOn w:val="Normal"/>
    <w:pPr/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Application>LibreOffice/4.3.0.4$Windows_x86 LibreOffice_project/62ad5818884a2fc2e5780dd45466868d41009ec0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2016-03-16T20:14:00Z</dcterms:created>
  <dc:creator>Jessica Medeiros</dc:creator>
  <dc:language>pt-BR</dc:language>
  <dcterms:modified xsi:type="dcterms:W3CDTF">2016-03-18T13:20:55Z</dcterms:modified>
  <cp:revision>3</cp:revision>
</cp:coreProperties>
</file>